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26</w:t>
      </w:r>
    </w:p>
    <w:p>
      <w:r>
        <w:t>Bundesgericht (BGE), 1994-02-22, FR</w:t>
      </w:r>
    </w:p>
    <w:p>
      <w:r>
        <w:rPr>
          <w:b/>
        </w:rPr>
        <w:t xml:space="preserve">Quelle: </w:t>
      </w:r>
      <w:r>
        <w:t>https://mcp.opencaselaw.ch/entscheid/bge_120 V 26</w:t>
      </w:r>
    </w:p>
    <w:p>
      <w:r>
        <w:t>FR: ATF 120 V 26</w:t>
      </w:r>
    </w:p>
    <w:p>
      <w:r>
        <w:t>IT: DTF 120 V 26</w:t>
      </w:r>
    </w:p>
    <w:p>
      <w:pPr>
        <w:pStyle w:val="Heading2"/>
      </w:pPr>
      <w:r>
        <w:t>Regeste</w:t>
      </w:r>
    </w:p>
    <w:p>
      <w:r>
        <w:t>Regeste Art. 73 Abs. 1 und 4 BVG: Sachliche Zuständigkeit der Rechtspflegeorgane nach Art. 73 BVG. Verletzung der Bestimmung eines Gesamtarbeitsvertrages durch den Arbeitgeber, wonach dieser verpflichtet ist, die Arbeitnehmer im Rahmen der beruflichen Vorsorge zu gewissen Minimalleistungen im Falle von Invalidität zu versichern. Klage eines invaliden Arbeitnehmers mit dem Ziel, vom ehemaligen Arbeitgeber die Auszahlung des Differenzbetrages zwischen den Leistungen seiner Pensionskasse und der Minimalleistung gemäss Gesamtarbeitsvertrag zu erhalten. Es liegt kein spezifisch vorsorgerechtlicher Streit zwischen Arbeitgeber und Anspruchsberechtigtem nach Art. 73 Abs. 1 BVG vor. Deshalb ist die sachliche Zuständigkeit der Rechtspflegeorgane nach Art. 73 BVG nicht gegeben.</w:t>
      </w:r>
    </w:p>
    <w:p>
      <w:pPr>
        <w:pStyle w:val="Heading2"/>
      </w:pPr>
      <w:r>
        <w:t>Erwägungen</w:t>
      </w:r>
    </w:p>
    <w:p>
      <w:r>
        <w:rPr>
          <w:b/>
        </w:rPr>
        <w:t>E. 1</w:t>
      </w:r>
    </w:p>
    <w:p>
      <w:r>
        <w:t>Le Tribunal fédéral des assurances examine d'office les conditions formelles de validité et de régularité de la procédure précédente, soit en particulier le point de savoir si c'est à juste titre que la juridiction cantonale est entrée en matière sur le recours (ou sur l'action). Ainsi, lorsque l'autorité de première instance a ignoré qu'une condition mise à l'examen du fond du litige par le juge faisait défaut et a statué sur le fond, c'est un motif pour le tribunal, saisi de l'affaire, d'annuler d'office le jugement en question ( ATF 119 V 12 consid. 1b et les arrêts cités).</w:t>
      </w:r>
    </w:p>
    <w:p>
      <w:r>
        <w:rPr>
          <w:b/>
        </w:rPr>
        <w:t>E. 2</w:t>
      </w:r>
    </w:p>
    <w:p>
      <w:r>
        <w:t>Selon l' art. 73 al. 1 LPP , chaque canton désigne un tribunal qui connaît, en dernière instance cantonale, des contestations opposant institutions de prévoyance, employeurs et ayants droit (al. 1). Dans le canton du Valais, la juridiction compétente est le Tribunal des assurances. Les décisions des tribunaux cantonaux peuvent être déférées au Tribunal fédéral des assurances par la voie du recours de droit administratif ( art. 73 al. 4 LPP ). Les autorités visées par l' art. 73 LPP sont compétentes, ratione materiae, pour trancher des contestations qui portent sur des questions spécifiques de la prévoyance professionnelle, au sens étroit ou au sens large ( ATF 116 V 220 consid. 1a et les références citées; WALSER, Der Rechtsschutz der Versicherten bei Rechtsansprüchen aus beruflicher Vorsorge, Mélanges pour le 75e anniversaire du TFA, p. 477 ss). Une contestation entre un employeur et un ayant droit peut porter, en particulier, sur le versement des cotisations par l'employeur à l'institution de prévoyance ( art. 66 al. 2 et 3 LPP ; MEYER, Die BGE 120 V 26 S. 30 Rechtswege nach dem BVG, RDS [106] 1987, p. 614; RIEMER, Das Recht der beruflichen Vorsorge in der Schweiz, p. 127; arrêt du 30 mai 1989 en la cause W., publié dans la SZS 1990 p. 205). Dans un tel cas, en effet, ce ne sont pas les juridictions des prud'hommes qui sont compétentes, mais le juge désigné par l' art. 73 LPP , même si la question de l'existence d'un contrat de travail entre les parties doit être tranchée à titre préjudiciel ( ATF 119 II 398 ).</w:t>
      </w:r>
    </w:p>
    <w:p>
      <w:r>
        <w:rPr>
          <w:b/>
        </w:rPr>
        <w:t>E. 3</w:t>
      </w:r>
    </w:p>
    <w:p>
      <w:r>
        <w:t>a) L'action ouverte par le recourant devant le Tribunal des assurances tendait à faire condamner son ex-employeur à lui verser une rente annuelle de 5'871 fr. 45. Cette action était motivée par le fait que l'employeur n'avait pas souscrit en faveur du salarié une assurance lui garantissant les prestations minimales prévues en cas d'invalidité par la CCT et supérieures, en l'occurrence, aux prestations légales selon la LPP. L'on doit se demander quel est le fondement juridique de cette prétention. b) A côté des dispositions qui régissent les droits et obligations des parties contractantes ( art. 356 al. 3 CO ), les conventions collectives de travail contiennent des clauses normatives qui règlent directement les rapports entre employeurs et travailleurs ( art. 356 al. 1 et 2 CO ). Ces clauses ont un effet direct et impératif envers les employeurs qu'elles lient (REHBINDER, Schweizerisches Arbeitsrecht, 11e édition, § 24B, p. 180; STREIFF/VON KAENEL, Arbeitsvertrag, note 5 ad art. 356 CO ; DE ROUGEMONT, L'application des conventions collectives de travail in: Le droit du travail en pratique, Journée 1991 de droit du travail et de la sécurité sociale, vol. 4, p. 55 s.). Le non-respect de telles normes est de nature à engager la responsabilité de l'employeur en vertu de l' art. 97 CO ; cette règle générale du code des obligations permet d'en assurer le respect et, partant, de fonder la responsabilité du débiteur qui ne les exécuterait pas ( ATF 115 II 254 ). Ainsi, l'employeur qui, en violation de l'obligation qui lui incombe en vertu d'une convention collective de travail, omet de conclure un contrat d'assurance-maladie en faveur d'un travailleur ou n'attire pas l'attention de ce dernier sur son obligation de s'assurer lui-même, est tenu, le cas échéant, de supporter, au titre de dommages-intérêts, les frais médico-pharmaceutiques et d'hospitalisation qui eussent été pris en charge par la caisse-maladie ( ATF 115 II 251 ; DUC, Quelques aspects de la responsabilité de l'employeur qui n'a pas assuré un collaborateur contre la maladie, en violation de l'obligation qui lui incombait, in: Mélanges Guy Flattet, p. 201 s.). En matière de prévoyance professionnelle, le non-respect par l'employeur de ses obligations peut, de la même manière, fonder une BGE 120 V 26 S. 31 action en dommages-intérêts (BRÜHWILER, Die betriebliche Personalvorsorge in der Schweiz, p. 537, note 123). Sous l'angle de la réparation, le travailleur, ici également, doit être placé dans la même situation que celle dans laquelle il serait si l'employeur avait correctement exécuté ses obligations. Dès lors, si l'employeur omet de conclure une assurance plus étendue que le minimum légal, en violation de ses devoirs découlant d'une convention collective de travail, le travailleur peut exiger, lors de la réalisation du risque et aux conditions de l' art. 97 CO , le paiement de dommages-intérêts correspondant au montant des prestations manquantes (BRÜHWILER, ibidem). c) En pareil cas, la prétention du travailleur est, sans conteste, de nature civile. Il s'agit d'une créance en réparation du dommage à raison de l'inexécution ou de l'exécution imparfaite d'une obligation issue du contrat de travail ou de la convention collective (BRÜHWILER, ibidem); cette prétention, comme telle, ne découle donc pas de la prévoyance professionnelle au sens étroit ou au sens large. D'ailleurs, le Tribunal fédéral des assurances s'est naguère déclaré incompétent pour connaître, dans le cadre de l' art. 73 al. 4 LPP , d'une action en responsabilité d'un affilié à l'encontre de l'institution de prévoyance ( ATF 117 V 42 consid. 3d). De même, il a eu l'occasion de juger, dans un litige qui portait principalement sur le montant d'une prestation de libre passage, que les voies de droit prévues par l' art. 73 LPP n'étaient pas ouvertes pour l'exercice de prétentions en dommages-intérêts ou pour tort moral d'un ayant droit contre son ancien employeur (arrêt du 24 juin 1992 en la cause M., publié dans la SZS 1993 p. 157, plus spécialement consid. 6). Dans un cas comme dans l'autre, la solution adoptée par le tribunal est en accord avec la doctrine majoritaire (LANTER, Die Verantwortlichkeit von Stiftungsorganen, thèse Zurich 1984, p. 236 s.; GREBER, La responsabilité civile des personnes chargées de l'administration et de la gestion d'une institution de prévoyance, in: Conférence des Administrateurs de Caisses de Pensions, juillet 1986, p. 53; RIEMER, op.cit., p. 128 en haut, qui renvoie à l'opinion de LANTER, à laquelle il paraît se rallier; contra: MEYER, loc.cit., p. 614; plus nuancé: WALSER, loc.cit., p. 478, qui considère que le juge désigné par l' art. 73 LPP est compétent lorsque l'action en réparation se fonde sur un renseignement erroné de l'institution de prévoyance, par exemple sur le montant d'une prestation future; dans le même sens que WALSER: jugement du Tribunal des assurances du canton de Zurich du 12 avril 1990, SZS 1990 p. 205). BGE 120 V 26 S. 32</w:t>
      </w:r>
    </w:p>
    <w:p>
      <w:r>
        <w:rPr>
          <w:b/>
        </w:rPr>
        <w:t>E. 4</w:t>
      </w:r>
    </w:p>
    <w:p>
      <w:r>
        <w:t>De ce qui précède, il résulte que le jugement attaqué doit être annulé d'office. Le Tribunal fédéral des assurances ne saurait, en revanche, annuler la sentence de la Chambre des affaires arbitrales du 15 avril 1991, qui n'est pas sujette à recours de droit administratif devant lui. Il appartient plutôt à la Chambre des affaires arbitrales, à qui la cause sera renvoyée, d'annuler elle-même sa sentence et de statuer à nouveau sur le litige dont elle était saisie. Elle ne pourra pas opposer aux parties l'autorité de chose jugée de la sentence du 15 avril 1991. En effet, cette sentence, par laquelle elle a décliné sa compétence, ne pouvait pas être revêtue de l'autorité de chose jugée aussi longtemps que la question des voies de droit à suivre par les parties n'avait pas été définitivement élucidée. Admettre le contraire priverait le recourant de toute possibilité d'obtenir un jugement sur le fond et constituerait, de ce fait, un déni de justice particulièrement grave.</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